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12" w:rsidRDefault="000C4412" w:rsidP="0082556F">
      <w:pPr>
        <w:spacing w:after="810" w:line="9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  <w:t>Задание на 6 ноября 2021 года.</w:t>
      </w:r>
    </w:p>
    <w:p w:rsidR="000C4412" w:rsidRDefault="000C4412" w:rsidP="000C4412">
      <w:pPr>
        <w:pStyle w:val="a3"/>
        <w:numPr>
          <w:ilvl w:val="0"/>
          <w:numId w:val="4"/>
        </w:numPr>
        <w:spacing w:after="81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  <w:t>Прочитать теоретический материал, расположенный в двух файлах.</w:t>
      </w:r>
    </w:p>
    <w:p w:rsidR="000C4412" w:rsidRDefault="000C4412" w:rsidP="000C4412">
      <w:pPr>
        <w:pStyle w:val="a3"/>
        <w:numPr>
          <w:ilvl w:val="0"/>
          <w:numId w:val="4"/>
        </w:numPr>
        <w:spacing w:after="810"/>
        <w:textAlignment w:val="baseline"/>
        <w:outlineLvl w:val="0"/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  <w:t>Ответить на вопрос: Как решается вопрос о территориальной целостности  государства.</w:t>
      </w:r>
    </w:p>
    <w:p w:rsidR="000C4412" w:rsidRDefault="000C4412" w:rsidP="000C4412">
      <w:pPr>
        <w:pStyle w:val="a3"/>
        <w:numPr>
          <w:ilvl w:val="0"/>
          <w:numId w:val="4"/>
        </w:numPr>
        <w:spacing w:after="810"/>
        <w:textAlignment w:val="baseline"/>
        <w:outlineLvl w:val="0"/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  <w:t>Законспектироват</w:t>
      </w:r>
      <w:r w:rsidR="000C60F6"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  <w:t>ь материал о социальной политике РФ.</w:t>
      </w:r>
      <w:bookmarkStart w:id="0" w:name="_GoBack"/>
      <w:bookmarkEnd w:id="0"/>
    </w:p>
    <w:p w:rsidR="000C4412" w:rsidRPr="000C4412" w:rsidRDefault="000C4412" w:rsidP="000C4412">
      <w:pPr>
        <w:pStyle w:val="a3"/>
        <w:numPr>
          <w:ilvl w:val="0"/>
          <w:numId w:val="4"/>
        </w:numPr>
        <w:spacing w:after="810"/>
        <w:textAlignment w:val="baseline"/>
        <w:outlineLvl w:val="0"/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  <w:t>Выполненное задание принести к уроку, или выслать на мой электронный адрес:</w:t>
      </w:r>
    </w:p>
    <w:p w:rsidR="000C4412" w:rsidRPr="000C4412" w:rsidRDefault="000C4412" w:rsidP="000C4412">
      <w:pPr>
        <w:pStyle w:val="a3"/>
      </w:pPr>
      <w:r>
        <w:t xml:space="preserve">       </w:t>
      </w:r>
      <w:hyperlink r:id="rId6" w:history="1">
        <w:r w:rsidRPr="000C4412">
          <w:rPr>
            <w:rStyle w:val="a4"/>
            <w:lang w:val="en-US"/>
          </w:rPr>
          <w:t>popo</w:t>
        </w:r>
        <w:r w:rsidRPr="000C60F6">
          <w:rPr>
            <w:rStyle w:val="a4"/>
          </w:rPr>
          <w:t>-56@</w:t>
        </w:r>
        <w:r w:rsidRPr="000C4412">
          <w:rPr>
            <w:rStyle w:val="a4"/>
            <w:lang w:val="en-US"/>
          </w:rPr>
          <w:t>in</w:t>
        </w:r>
        <w:r w:rsidRPr="000C4412">
          <w:rPr>
            <w:rStyle w:val="a4"/>
            <w:sz w:val="24"/>
            <w:lang w:val="en-US"/>
          </w:rPr>
          <w:t>b</w:t>
        </w:r>
        <w:r w:rsidRPr="000C4412">
          <w:rPr>
            <w:rStyle w:val="a4"/>
            <w:lang w:val="en-US"/>
          </w:rPr>
          <w:t>ox</w:t>
        </w:r>
        <w:r w:rsidRPr="00093DEB">
          <w:rPr>
            <w:rStyle w:val="a4"/>
          </w:rPr>
          <w:t>.</w:t>
        </w:r>
        <w:proofErr w:type="spellStart"/>
        <w:r w:rsidRPr="000C4412">
          <w:rPr>
            <w:rStyle w:val="a4"/>
            <w:lang w:val="en-US"/>
          </w:rPr>
          <w:t>ru</w:t>
        </w:r>
        <w:proofErr w:type="spellEnd"/>
      </w:hyperlink>
      <w:r w:rsidRPr="000C60F6">
        <w:t xml:space="preserve"> </w:t>
      </w:r>
    </w:p>
    <w:p w:rsidR="0082556F" w:rsidRPr="00E55C43" w:rsidRDefault="0082556F" w:rsidP="0082556F">
      <w:pPr>
        <w:spacing w:after="810" w:line="9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</w:pPr>
      <w:r w:rsidRPr="00E55C43">
        <w:rPr>
          <w:rFonts w:ascii="Times New Roman" w:eastAsia="Times New Roman" w:hAnsi="Times New Roman" w:cs="Times New Roman"/>
          <w:b/>
          <w:color w:val="10181F"/>
          <w:spacing w:val="-20"/>
          <w:kern w:val="36"/>
          <w:sz w:val="28"/>
          <w:szCs w:val="28"/>
          <w:lang w:eastAsia="ru-RU"/>
        </w:rPr>
        <w:t>Вопросы обеспечения территориальной целостности России.</w:t>
      </w:r>
    </w:p>
    <w:p w:rsidR="0082556F" w:rsidRPr="0082556F" w:rsidRDefault="0082556F" w:rsidP="0082556F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Фракция Народно-Патриотический Союз «Родина» (Партия Национального Возрождения «Народная Воля» — Социалистическая единая партия России) провела «круглый стол» на тему: «</w:t>
      </w: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bdr w:val="none" w:sz="0" w:space="0" w:color="auto" w:frame="1"/>
          <w:lang w:eastAsia="ru-RU"/>
        </w:rPr>
        <w:t>Законодательное обеспечение территориальной целостности России</w:t>
      </w: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».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В обсуждении приняли участие депутаты, ученые, общественные деятели. Работа «круглого стола» началась с минуты молчания в память об Игоре Латышеве — видном российском ученом, который внес неоценимый вклад в развитие российского законодательства по обеспечению территориальной целостности страны. Он ушел из жизни в октябре текущего года.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Открывая дискуссию, заместитель Председателя Государственной Думы Сергей Бабурин отметил, что работа, которой профессор Латышев посвятил свою жизнь, будет продолжена.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«Законодательное обеспечение территориальной целостности России чрезвычайно важно для современной России», — сказал </w:t>
      </w:r>
      <w:proofErr w:type="spellStart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С.Бабурин</w:t>
      </w:r>
      <w:proofErr w:type="spellEnd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lastRenderedPageBreak/>
        <w:t>Он считает, что «реагирование на любые угрозы территориальной целостности — это задача всех: и ученых, и общественных и политических деятелей».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В ходе дискуссии отмечалось, что нерешенными остается много проблем. Это вопросы урегулирования правового статуса и согласования границ Каспийского моря, пребывание Черноморского флота РФ в Крыму, вопросы оспаривания секторальной зоны России в Арктике, территориальные претензии к России со стороны ряда государств, проблемы транзита грузов в Калининградскую область, погранично-таможенная проблематика с некоторыми странами СНГ.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Указывалось, что из 23 тысяч километров государственной сухопутной границы, подлежащей международно-правовому оформлению, в настоящее время юридически закреплено только три четверти. «Проблемные зоны» границ, в частности, не позволяют остановить неконтролируемую миграцию из Китая и стран СНГ, </w:t>
      </w:r>
      <w:proofErr w:type="gramStart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которая</w:t>
      </w:r>
      <w:proofErr w:type="gramEnd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, как заметил главный специалист Института научных исследований и информации РАГС Леонид Кононов, приводит к вытеснению российского населения с исторических мест проживания.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В тоже время, было отмечено, что проблемы территориальной целостности состоят не только в определении внешних пределов границ, но и в «закреплении внутреннего единства регионов России». «Помимо границ, обозначенных на карте, территориальная целостность, прежде всего, должна обеспечиваться внутренней стабильностью», — указал </w:t>
      </w:r>
      <w:proofErr w:type="spellStart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С.Бабурин</w:t>
      </w:r>
      <w:proofErr w:type="spellEnd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Заведующий кафедрой философии, политологии и культуры Дипломатической академии МИД РФ Константин Долгов сказал, что дело не только в протяженности границ, в том, где она проходит и где </w:t>
      </w: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lastRenderedPageBreak/>
        <w:t>стоят пограничные столбы. «Граница любого государства проходит через сердца, душу и голову каждого человека», — убежден он.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Выступивший на «круглом столе» министр Абхазии, полномочный представитель этой непризнанной республики в РФ Игорь </w:t>
      </w:r>
      <w:proofErr w:type="spellStart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Ахба</w:t>
      </w:r>
      <w:proofErr w:type="spellEnd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высказал мнение, что восстановлению территориальной целостности России способствовало бы установление между Абхазией и Россией ассоциированных отношений. Он напомнил, что к Президенту РФ и Федеральному собранию направлено обращение абхазского парламента о признании независимости Абхазии и установлении более тесных отношений. «Наше стремление продиктовано быть с Россией ближе», — сказал </w:t>
      </w:r>
      <w:proofErr w:type="spellStart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И.Ахба</w:t>
      </w:r>
      <w:proofErr w:type="spellEnd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, напомнив, что абхазский и российский народы «исторически имели тесные отношения».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Президент Конгресса </w:t>
      </w:r>
      <w:proofErr w:type="spellStart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абхазо</w:t>
      </w:r>
      <w:proofErr w:type="spellEnd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-абазинского народа Тарас </w:t>
      </w:r>
      <w:proofErr w:type="spellStart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Шамба</w:t>
      </w:r>
      <w:proofErr w:type="spellEnd"/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, в свою очередь, отметил, что «необходимо сохранить не только территориальную целостность России, но и суверенитет каждого народа, кто входит в ее состав».</w:t>
      </w:r>
    </w:p>
    <w:p w:rsidR="0082556F" w:rsidRPr="0082556F" w:rsidRDefault="0082556F" w:rsidP="0082556F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82556F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В ходе дискуссии участники «круглого стола» выработали предложения Президенту РФ, Правительству, Федеральному собранию, и также министерствам и ведомствам. В частности, предложено разработать и принять федеральный закон «Об обеспечении территориальной целостности Российской федерации», внести поправку в статью 67 Конституции РФ, которая определяет возможность изменения границ субъектов РФ.</w:t>
      </w:r>
    </w:p>
    <w:p w:rsidR="0065283C" w:rsidRDefault="0065283C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Default="002F74B6"/>
    <w:p w:rsidR="002F74B6" w:rsidRPr="002F74B6" w:rsidRDefault="002F74B6" w:rsidP="002F74B6">
      <w:pPr>
        <w:spacing w:after="0" w:line="585" w:lineRule="atLeast"/>
        <w:textAlignment w:val="baseline"/>
        <w:outlineLvl w:val="0"/>
        <w:rPr>
          <w:rFonts w:ascii="Arial" w:eastAsia="Times New Roman" w:hAnsi="Arial" w:cs="Arial"/>
          <w:b/>
          <w:color w:val="222222"/>
          <w:spacing w:val="-6"/>
          <w:kern w:val="36"/>
          <w:sz w:val="28"/>
          <w:szCs w:val="28"/>
          <w:lang w:eastAsia="ru-RU"/>
        </w:rPr>
      </w:pPr>
      <w:r w:rsidRPr="002F74B6">
        <w:rPr>
          <w:rFonts w:ascii="Arial" w:eastAsia="Times New Roman" w:hAnsi="Arial" w:cs="Arial"/>
          <w:b/>
          <w:color w:val="222222"/>
          <w:spacing w:val="-6"/>
          <w:kern w:val="36"/>
          <w:sz w:val="28"/>
          <w:szCs w:val="28"/>
          <w:lang w:eastAsia="ru-RU"/>
        </w:rPr>
        <w:t>Недопустимость отчуждения территории государства как неотъемлемый элемент государственного суверенитета</w:t>
      </w:r>
    </w:p>
    <w:p w:rsidR="002F74B6" w:rsidRPr="002F74B6" w:rsidRDefault="002F74B6" w:rsidP="002F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Территориальная целостность государства и неприкосновенность государственных границ, а также создание правовых механизмов, направленных на противодействие потенциально возможному нарушению этих основополагающих принципов организации государства в результате действия внешних и внутренних политических и общественных сил, являются категорически важными для любого суверенного государства.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Конституцией Российской Федерации в настоящее время в числе основных принципов территориальной организации определяется целостность и неприкосновенность территории государства. Территориальная целостность предполагает сохранение территориального единства, а также недопустимость одностороннего выхода из состава государства какой</w:t>
      </w: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noBreakHyphen/>
        <w:t xml:space="preserve">либо его части, т. е. сецессии входящей в его состав территории. При этом подобная норма не исключает возможности заключения соответствующего международного соглашения, на основании которого в результате </w:t>
      </w: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выражения суверенной воли Российской Федерации часть ее территории может быть передана под юрисдикцию иного государства.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 то же время в рамках общественного обсуждения инициированных Президентом Российской Федерации поправок к Конституции России предлагается расширение объема действия принципа территориальной целостности посредством закрепления конституционной нормы о безоговорочной недопустимости отчуждения какой</w:t>
      </w: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noBreakHyphen/>
        <w:t>либо территории российского государства. Принимая во внимание протяженность российской границы, наличие огромных природных ресурсов, а также обострение отношений с иностранными государствами, в том числе в результате вхождения территории Республики Крым и города Севастополя в состав Российской Федерации, сохранение территориальной целостности России становится одним из главных вопросов политической повестки.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Закрепление в Конституции России запрета на отчуждение территории Российской Федерации является важным шагом к созданию механизма поддержания неделимости страны и защиты от неправомерных внешних притязаний на долгие годы.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Однако стремление государства к созданию правовых механизмов, направленных на недопустимость отчуждения ее территории, не может и не должно рассматриваться в качестве ограждения от мира железным занавесом и тем более предпосылок для нарушения государством принятых на себя международно-правовых обязательств.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Закрепление принципа территориальной целостности в качестве одной из основ конституционного строя является распространенной практикой в зарубежных государствах.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Так, статьей 2 Конституции Болгарии предусматривается, что территориальная целостность Болгарии является нерушимой.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Согласно статье 273 Конституции Португалии целями национальной обороны являются обеспечение национальной независимости, территориальной целостности, свободы и безопасности населения от любой внешней агрессии или угрозы при соблюдении конституционного строя, демократических процедур и международных соглашений.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 соответствии со статьей 1 Конституции Чехии основной обязанностью государства является обеспечение суверенитета и территориальной целостности Чешской Республики, защита ее демократических основ, защита жизни, здоровья и собственности.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 соответствии с положениями преамбулы к Конституции Латвии латвийский народ защищает свой суверенитет, национальную независимость, территорию, территориальную целостность и демократическую систему правления Латвии.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 зарубежной конституционной практике возможность отделения части территории формально допускается, однако реализация подобных положений в развитых правопорядках существенно затруднена. Так, например, Основной закон ФРГ не содержит положений о допустимости или недопустимости сецессии, однако Федеральный Конституционный Суд ФРГ в решении от 16 декабря 2016 года № 2 </w:t>
      </w:r>
      <w:proofErr w:type="spellStart"/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BvR</w:t>
      </w:r>
      <w:proofErr w:type="spellEnd"/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349/16 определил, что земли в составе ФРГ не могут принимать решения о выходе из состава государства. По мнению Федерального Конституционного Суда ФРГ, это затрагивает определенный Основным законом ФРГ конституционный порядок, поскольку он установлен народом всего государства, которому принадлежит суверенитет.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Аналогичный подход был воспринят Конституционным Судом Испании, который в постановлении № 42 от 25 марта 2014 года, несмотря на результаты референдума в Каталонии, указал на недопустимость отделения территории Каталонии от Испании.</w:t>
      </w:r>
    </w:p>
    <w:p w:rsidR="002F74B6" w:rsidRPr="002F74B6" w:rsidRDefault="002F74B6" w:rsidP="002F74B6">
      <w:pPr>
        <w:spacing w:after="435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Приверженность недопустимости отчуждения территории государства была высказана и в позициях Европейской комиссии за демократию через право (Венецианской комиссией) в докладе «Общие правовые основы содействия урегулированию этнополитических конфликтов в Европе». Так, в качестве главной общеевропейской позиции по данному вопросу был сформирован подход, согласно которому принцип территориальной целостности является одним из основополагающих в конституционном праве и связан с недопустимостью отделения какой</w:t>
      </w: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noBreakHyphen/>
        <w:t>либо территории государства. Как отмечала Венецианская комиссия, несмотря на то, что ряд конституций гарантирует право на самоопределение, эта концепция исключает право сецессии. Соответствующие выводы также были изложены в докладе «Самоопределение и отделение в конституционном праве», в котором отмечалось, что право сецессии противоречит конституционному принципу государственной целостности.</w:t>
      </w:r>
    </w:p>
    <w:p w:rsidR="002F74B6" w:rsidRPr="002F74B6" w:rsidRDefault="002F74B6" w:rsidP="002F74B6">
      <w:pPr>
        <w:spacing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74B6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Таким образом, развитые правопорядки и передовые практики в области конституционного законодательства определяют принцип территориальной целостности в качестве одной из ключевых основ организации государственности.</w:t>
      </w:r>
    </w:p>
    <w:p w:rsidR="002F74B6" w:rsidRPr="002F74B6" w:rsidRDefault="000C60F6" w:rsidP="002F74B6">
      <w:pPr>
        <w:numPr>
          <w:ilvl w:val="0"/>
          <w:numId w:val="3"/>
        </w:numPr>
        <w:spacing w:after="0" w:line="375" w:lineRule="atLeast"/>
        <w:ind w:left="0"/>
        <w:jc w:val="center"/>
        <w:textAlignment w:val="baseline"/>
        <w:rPr>
          <w:rFonts w:ascii="inherit" w:eastAsia="Times New Roman" w:hAnsi="inherit" w:cs="Times New Roman"/>
          <w:color w:val="222222"/>
          <w:sz w:val="2"/>
          <w:szCs w:val="2"/>
          <w:lang w:eastAsia="ru-RU"/>
        </w:rPr>
      </w:pPr>
      <w:hyperlink r:id="rId7" w:tgtFrame="_blank" w:tooltip="Поделиться в Facebook" w:history="1">
        <w:proofErr w:type="spellStart"/>
        <w:r w:rsidR="002F74B6" w:rsidRPr="002F74B6">
          <w:rPr>
            <w:rFonts w:ascii="inherit" w:eastAsia="Times New Roman" w:hAnsi="inherit" w:cs="Times New Roman"/>
            <w:color w:val="0000FF"/>
            <w:sz w:val="2"/>
            <w:szCs w:val="2"/>
            <w:bdr w:val="none" w:sz="0" w:space="0" w:color="auto" w:frame="1"/>
            <w:lang w:eastAsia="ru-RU"/>
          </w:rPr>
          <w:t>Facebook</w:t>
        </w:r>
        <w:proofErr w:type="spellEnd"/>
      </w:hyperlink>
    </w:p>
    <w:p w:rsidR="002F74B6" w:rsidRDefault="002F74B6"/>
    <w:sectPr w:rsidR="002F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BFE"/>
    <w:multiLevelType w:val="multilevel"/>
    <w:tmpl w:val="822A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402F1"/>
    <w:multiLevelType w:val="multilevel"/>
    <w:tmpl w:val="037A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C4008"/>
    <w:multiLevelType w:val="hybridMultilevel"/>
    <w:tmpl w:val="0512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C2582"/>
    <w:multiLevelType w:val="multilevel"/>
    <w:tmpl w:val="5F46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D"/>
    <w:rsid w:val="000C4412"/>
    <w:rsid w:val="000C60F6"/>
    <w:rsid w:val="002F74B6"/>
    <w:rsid w:val="00390CCD"/>
    <w:rsid w:val="0065283C"/>
    <w:rsid w:val="0082556F"/>
    <w:rsid w:val="00E55C43"/>
    <w:rsid w:val="00F2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9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029">
              <w:marLeft w:val="0"/>
              <w:marRight w:val="0"/>
              <w:marTop w:val="8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0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2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3427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6901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1962">
                          <w:marLeft w:val="5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3891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3027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951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14927">
              <w:marLeft w:val="0"/>
              <w:marRight w:val="-57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159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6922">
                      <w:marLeft w:val="0"/>
                      <w:marRight w:val="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acebook.com/sharer.php?u=http%3A//council.gov.ru/services/discussions/blogs/1137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o-56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2021-11-05T09:26:00Z</dcterms:created>
  <dcterms:modified xsi:type="dcterms:W3CDTF">2021-11-05T14:42:00Z</dcterms:modified>
</cp:coreProperties>
</file>