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61" w:rsidRDefault="000F4161" w:rsidP="000F416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sz w:val="28"/>
          <w:szCs w:val="28"/>
        </w:rPr>
      </w:pPr>
      <w:bookmarkStart w:id="0" w:name="_GoBack"/>
      <w:r w:rsidRPr="000F4161">
        <w:rPr>
          <w:b/>
          <w:sz w:val="28"/>
          <w:szCs w:val="28"/>
        </w:rPr>
        <w:t>Задание на 1</w:t>
      </w:r>
      <w:r>
        <w:rPr>
          <w:b/>
          <w:sz w:val="28"/>
          <w:szCs w:val="28"/>
        </w:rPr>
        <w:t>0</w:t>
      </w:r>
      <w:r w:rsidRPr="000F4161">
        <w:rPr>
          <w:b/>
          <w:sz w:val="28"/>
          <w:szCs w:val="28"/>
        </w:rPr>
        <w:t>.11.2021</w:t>
      </w:r>
      <w:bookmarkEnd w:id="0"/>
      <w:r w:rsidRPr="000F4161">
        <w:rPr>
          <w:b/>
          <w:sz w:val="28"/>
          <w:szCs w:val="28"/>
        </w:rPr>
        <w:t xml:space="preserve">: </w:t>
      </w:r>
    </w:p>
    <w:p w:rsidR="000F4161" w:rsidRDefault="000F4161" w:rsidP="000F416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sz w:val="28"/>
          <w:szCs w:val="28"/>
        </w:rPr>
      </w:pPr>
      <w:r w:rsidRPr="000F4161">
        <w:rPr>
          <w:b/>
          <w:sz w:val="28"/>
          <w:szCs w:val="28"/>
        </w:rPr>
        <w:t>1. Изучить тему урока:  Порядок комплектования МТА для  внесения удобрений</w:t>
      </w:r>
    </w:p>
    <w:p w:rsidR="000F4161" w:rsidRPr="000F4161" w:rsidRDefault="000F4161" w:rsidP="000F4161">
      <w:pPr>
        <w:shd w:val="clear" w:color="auto" w:fill="F9F9F9"/>
        <w:spacing w:after="0"/>
        <w:ind w:right="1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4161">
        <w:rPr>
          <w:rFonts w:ascii="Times New Roman" w:hAnsi="Times New Roman" w:cs="Times New Roman"/>
          <w:b/>
          <w:sz w:val="28"/>
          <w:szCs w:val="28"/>
        </w:rPr>
        <w:t xml:space="preserve"> 2. Составить конспект  по изучаемой теме</w:t>
      </w:r>
      <w:r w:rsidRPr="000F4161">
        <w:rPr>
          <w:rFonts w:ascii="Times New Roman" w:hAnsi="Times New Roman" w:cs="Times New Roman"/>
          <w:sz w:val="28"/>
          <w:szCs w:val="28"/>
        </w:rPr>
        <w:t>.</w:t>
      </w:r>
    </w:p>
    <w:p w:rsidR="000F4161" w:rsidRPr="000F4161" w:rsidRDefault="000F4161" w:rsidP="000F4161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16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F4161">
        <w:rPr>
          <w:rFonts w:ascii="Times New Roman" w:hAnsi="Times New Roman" w:cs="Times New Roman"/>
          <w:b/>
          <w:sz w:val="28"/>
          <w:szCs w:val="28"/>
        </w:rPr>
        <w:t xml:space="preserve"> Сделать скриншот и отправить на эл. почту: </w:t>
      </w:r>
      <w:r w:rsidRPr="000F416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0F4161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Pr="000F4161">
        <w:rPr>
          <w:rFonts w:ascii="Times New Roman" w:hAnsi="Times New Roman" w:cs="Times New Roman"/>
          <w:b/>
          <w:sz w:val="28"/>
          <w:szCs w:val="28"/>
          <w:lang w:val="en-US"/>
        </w:rPr>
        <w:t>makarov</w:t>
      </w:r>
      <w:proofErr w:type="spellEnd"/>
      <w:r w:rsidRPr="000F4161">
        <w:rPr>
          <w:rFonts w:ascii="Times New Roman" w:hAnsi="Times New Roman" w:cs="Times New Roman"/>
          <w:b/>
          <w:sz w:val="28"/>
          <w:szCs w:val="28"/>
        </w:rPr>
        <w:t>61@</w:t>
      </w:r>
      <w:r w:rsidRPr="000F416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F416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F416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0F4161" w:rsidRDefault="000F4161" w:rsidP="0073477F">
      <w:pPr>
        <w:shd w:val="clear" w:color="auto" w:fill="FFFFFF"/>
        <w:spacing w:after="0" w:line="240" w:lineRule="auto"/>
        <w:ind w:right="141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161" w:rsidRDefault="000F4161" w:rsidP="0073477F">
      <w:pPr>
        <w:shd w:val="clear" w:color="auto" w:fill="FFFFFF"/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4161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0F4161">
        <w:rPr>
          <w:rFonts w:ascii="Times New Roman" w:hAnsi="Times New Roman" w:cs="Times New Roman"/>
          <w:b/>
          <w:sz w:val="28"/>
          <w:szCs w:val="28"/>
        </w:rPr>
        <w:t>Порядок комплектования МТА для  внесения удобрений</w:t>
      </w:r>
      <w:proofErr w:type="gramStart"/>
      <w:r w:rsidRPr="000F4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0F4161" w:rsidRPr="000F4161" w:rsidRDefault="000F4161" w:rsidP="0073477F">
      <w:pPr>
        <w:shd w:val="clear" w:color="auto" w:fill="FFFFFF"/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Высокопроизводительное использование техники во многом зависит от правильного комплектования машинно-тракторных агрегатов, выбора лучших из них и подготовки их к работе.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комплектовании решают следующие вопросы: выбор рабочих органов, машин, сцепок и тракторов, которые в конкретных условиях обеспечат высокое качество работы; определение состава и режима работы агрегата, обеспечивающих наибольшую производительность и экономичность за счет наилучшего использования мощности двигателя; соединение машин, сцепки и трактора в агрегате так, чтобы получить высокие качественные и экономические показатели.</w:t>
      </w:r>
      <w:proofErr w:type="gramEnd"/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Исходные данные для комплектования агрегатов: вид и характеристика обрабатываемой почвы или растений, размеры и рельеф полей, агротехнические требования к выполняемой работе, агротехнологические свойства машин и тракторов, удельное сопротивление рабочих машин, тяговые свойства трактора.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Комплектование агрегата начинают с выбора рабочих органов, машин и тракторов.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Сельскохозяйственные машины (орудия) следует выбирать с </w:t>
      </w:r>
      <w:proofErr w:type="gramStart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proofErr w:type="gramEnd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качества работы, соответствующего агротехническим требованиям для заданных условий работы. Машины должны быть удобны в обслуживании. Число их подбирают с таким расчетом, чтобы рационально использовать тяговое усилие и мощность трактора. При этом необходимо стремиться к тому, чтобы агрегат обладал достаточной проходимостью и был маневренным, отвечал современным эргономическим и экологическим требованиям, безопасен в работе.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МТА на базе мощных тракторов можно одновременно использовать несколько машин, которые соединяют с тракторами с помощью универсальных или специальных сцепок.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Тракторы следует выбирать, исходя из наличия их в хозяйстве и с учетом зональной системы машины. При этом необходимо учитывать тип почвы, удельные и тяговые сопротивления агрегатов, размеры рабочих участков, набор сельскохозяйственных культур. Выбранный трактор должен удовлетворять агротехническим требованиям, т. е. вписываться в междурядья с достаточной защитной зоной.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Тракторы должны также обладать достаточной мощностью и тяговым усилием для выполнения заданной операции. Так, запас по тяговому усилию 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гусеничных тракторов должен составлять 25 %, колесных - 15, а при буксовании - соответственно не более 5 и 12%.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выполнении операций (пахоты, </w:t>
      </w:r>
      <w:proofErr w:type="spellStart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дискования</w:t>
      </w:r>
      <w:proofErr w:type="spellEnd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рыхления) агрегаты наиболее целесообразно комплектовать с тракторами ДТ-75М, ВТ-100, ДТ-175С, Т-150, ВТ-130К, К-701, К-744, при тяжелых условиях работы - с тракторами Т-4А, Т-130, Т-1 ЗОБ, а для культивации, боронования и посева зерновых </w:t>
      </w:r>
      <w:proofErr w:type="gramStart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гусеничными тракторами. Кузовные разбрасыватели удобрений следует </w:t>
      </w:r>
      <w:proofErr w:type="spellStart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агрегатировать</w:t>
      </w:r>
      <w:proofErr w:type="spellEnd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колесными тракторами.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посева и обработки пропашных культур, скашивания зерновых, уборки соломы, заготовки сена и на транспортных работах экономически выгодно использовать тракторы типа МТЗ, ЛТЗ. На легких почвах и небольших участках с короткими гонами тракторы МТЗ и ЮМЗ-6АЛ/АМ можно использовать также для культивации и даже для пахотных работ.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возделывании сахарной свеклы (посев, междурядная обработка и т. д.) необходимо использовать тракторы Т-70С и Т-90С. Их колея вписывается в междурядья посевов, и по сравнению с колесными тракторами они меньше уплотняют почву, что для рассматриваемой культуры очень важно.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определении состава агрегата можно использовать расчетный или опытный метод. На практике чаще всего отдают предпочтение опытному методу, используя рекомендации, изложенные в типовых зональных операционных технологиях. Если состав агрегата известен, то остается только определить рабочую скорость и соответствующую ей передачу.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скорость всех агрегатов </w:t>
      </w:r>
      <w:proofErr w:type="gramStart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ограничена</w:t>
      </w:r>
      <w:proofErr w:type="gramEnd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качеством выполнения работы. Кроме этого для тяговых агрегатов она ограничивается тягово-сцепными свойствами, а для тягово-приводных и самоходных агрегатов - пропускной способностью и мощностью двигателя.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практике рабочую скорость агрегата выбирают, исходя из показания </w:t>
      </w:r>
      <w:proofErr w:type="spellStart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тахоспидометра</w:t>
      </w:r>
      <w:proofErr w:type="spellEnd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установленного на современных тракторах. Зная диапазон </w:t>
      </w:r>
      <w:proofErr w:type="spellStart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агротехнически</w:t>
      </w:r>
      <w:proofErr w:type="spellEnd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допустимых скоростей для данной сельскохозяйственной машины, по спидометру определяют передачу трактора (скорость движения), на которой МТА должен входить в этот диапазон. По частоте вращения коленчатого вала определяют степень загрузки двигателя. Работать нужно при частоте вращения коленчатого вала немного большей, чем </w:t>
      </w:r>
      <w:proofErr w:type="gramStart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номинальная</w:t>
      </w:r>
      <w:proofErr w:type="gramEnd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(указана на </w:t>
      </w:r>
      <w:proofErr w:type="spellStart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тахоспидометре</w:t>
      </w:r>
      <w:proofErr w:type="spellEnd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). Если рабочая скорость меньше, то переходят на более низкую передачу.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Комплектование машин  для внесения удобрений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работы по внесению минеральных удобрений в поч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 выполняются комплексом машин, состоящим из погруз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чиков, транспортных средств и машин для внесения удобре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Погрузочные и транспортные средства.</w:t>
      </w:r>
      <w:r w:rsidRPr="000F4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Минеральные удобрения поступают в хозяйства в </w:t>
      </w:r>
      <w:proofErr w:type="spellStart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затаренном</w:t>
      </w:r>
      <w:proofErr w:type="spellEnd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 и рос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сыпью.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погрузки незатаренных удобрений в транспортные средства из складов и вагонов применяются самоходные погрузчики МВС-ЗМ, ленточные конвейеры ЛТ-10 или ЛТ-6 и грейферные погрузчики ПМГ-0,2 Удобрения в мешках грузятся </w:t>
      </w:r>
      <w:proofErr w:type="spellStart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электропогрузчиками</w:t>
      </w:r>
      <w:proofErr w:type="spellEnd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ленточными транспортерами 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Минеральные удобрения перевозят автосамосвалами, бортовыми машинами, тракторными прицепами, а также специализированными автомобильными загрузчиками 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Основными машинами для внесения минеральных удоб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рений в почву являются</w:t>
      </w:r>
      <w:r w:rsidR="002D64C4"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разбрасыватели РУМ-3, 1-РМГ-4, 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НРУ-0,5 и сеялки РТТ-4,2 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Минеральные удобрения вносят также с помощью само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летов АН-2(А) и ЯК-12.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Комплектование агрегатов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Производительность и эко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номичность использования машин на внесении минераль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удобрений во многом зависят от правильного комплек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тования агрегатов и выбора режима их работы.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Сеялки РТТ-4,2 в зависимости от их количества </w:t>
      </w:r>
      <w:proofErr w:type="spellStart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агрегатируются</w:t>
      </w:r>
      <w:proofErr w:type="spellEnd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тракторами Т-40, «Беларусь» и гусеничными тракторами класса 30 кН.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Разбрасыватель НРУ-0,5 навешивается на тракторы Т-40 и «Беларусь». Прицепы-разбрасыватели РУМ-3 и 1-РМГ-4 </w:t>
      </w:r>
      <w:proofErr w:type="spellStart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агрегатируются</w:t>
      </w:r>
      <w:proofErr w:type="spellEnd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этими же тракторами. Разбра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сыватель КСА-3 устанавливается на раму автосамосвала ЗИЛ-ММЗ-555.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Подготовка агрегатов к работе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агрегатов для разбрасывания удобрений заключается в подготовке тракторов, сцепок, предваритель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регулировке разбрасывателей и сеялок, составлении агрегатов. У КСА-3 в операции подготовки входят снятие самосвального кузова, установка разбрасывателя на раму автосамосвала и установка арочных колес (при необходи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мости).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Подготовка тракторов.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подготовке тракторов для их </w:t>
      </w:r>
      <w:proofErr w:type="spellStart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агрегатирования</w:t>
      </w:r>
      <w:proofErr w:type="spellEnd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прицепом-разбрасывателем 1-РМГ-4 колею трактора уста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навливают на 1800 мм.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тракторов для работы с навесными машинами (НРУ-0,5) снимают поперечину прицепного устрой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ства. Длину раскосов механизма навески устанавливают равной 515 мм и соединяют раскосы через прорези с продольными тягами.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Составление агрегатов.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навешивания на трактор туковой сеялки или разбрасывателя НРУ-0,5 регулируют горизон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тальное положение высевающих тарелок и разбрасываю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дисков изменением длины центральной тяги. При этом разбрасыватель НРУ-0,5 поднимают так, чтобы раз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брасывающие диски были на высоте 700—750 мм от поверх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земли.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Технологические схемы внесения удобрений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используемой техники и расстояния перевозки применяются следующие технологические схемы внесения минеральных удобрений: прямоточная, с перегруз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 и перевалочная.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схемой внесения минеральных удобрений яв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ляется схема с перегрузкой: погрузка удоб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рений погрузчиком со склада в автосамосвалы-</w:t>
      </w:r>
      <w:proofErr w:type="spellStart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перегрузчики</w:t>
      </w:r>
      <w:proofErr w:type="spellEnd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САЗ-3502 или загрузчики сеялок ЗСА-40, АС-2УМ, транспортировка их на поле, перегрузка в сеялки или раз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брасыватели и внесение их в почву последними.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Прямоточная схема работы (транспортировка и внесение осуществляются одним агрегатом) может быть ре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комендована для внесения минеральных удобрений при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цепами-разбрасывателями, если места хранения удобрений расположены вблизи полей.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внесении удобрений разбрасывателем КСА-3 при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менение прямоточной схемы выгоднее (по сравнению с перевалочной схемой) даже с увеличением расстояния транс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портировки до 20—30 км.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Подготовка полей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Подготовка полей зависит от используемых агрегатов, предполагаемых способов их движения и схемы организа</w:t>
      </w: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работы.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на поле нескольких агрегатов его разбивают на отдельные участки с учетом сменной выработки машин. На поле отмечают поворотные полосы, линию первого прохода агрегата и места заправки сеялок или разбрасывателей (при перевалочной схеме работы).</w:t>
      </w:r>
    </w:p>
    <w:p w:rsidR="00FA5D8D" w:rsidRPr="000F4161" w:rsidRDefault="00FA5D8D" w:rsidP="0073477F">
      <w:pPr>
        <w:shd w:val="clear" w:color="auto" w:fill="FFFFFF"/>
        <w:spacing w:after="0" w:line="240" w:lineRule="auto"/>
        <w:ind w:right="14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способом движения агрегатов на внесении минеральных удобрений является </w:t>
      </w:r>
      <w:proofErr w:type="gramStart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челночный</w:t>
      </w:r>
      <w:proofErr w:type="gramEnd"/>
      <w:r w:rsidRPr="000F41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270E" w:rsidRPr="000F4161" w:rsidRDefault="0084270E" w:rsidP="0073477F">
      <w:pPr>
        <w:spacing w:after="0" w:line="240" w:lineRule="auto"/>
        <w:ind w:right="141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84270E" w:rsidRPr="000F4161" w:rsidSect="000F4161">
      <w:pgSz w:w="11906" w:h="16838"/>
      <w:pgMar w:top="993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5D8D"/>
    <w:rsid w:val="000F4161"/>
    <w:rsid w:val="00147F93"/>
    <w:rsid w:val="00173C59"/>
    <w:rsid w:val="002D64C4"/>
    <w:rsid w:val="00356646"/>
    <w:rsid w:val="0072685D"/>
    <w:rsid w:val="0073477F"/>
    <w:rsid w:val="0084270E"/>
    <w:rsid w:val="00BB1FC2"/>
    <w:rsid w:val="00FA5D8D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5D"/>
  </w:style>
  <w:style w:type="paragraph" w:styleId="1">
    <w:name w:val="heading 1"/>
    <w:basedOn w:val="a"/>
    <w:link w:val="10"/>
    <w:uiPriority w:val="9"/>
    <w:qFormat/>
    <w:rsid w:val="00FA5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D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A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5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2020-12-15T08:10:00Z</cp:lastPrinted>
  <dcterms:created xsi:type="dcterms:W3CDTF">2018-11-22T04:40:00Z</dcterms:created>
  <dcterms:modified xsi:type="dcterms:W3CDTF">2021-11-09T10:12:00Z</dcterms:modified>
</cp:coreProperties>
</file>